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33D2" w14:textId="77777777" w:rsidR="00C936F5" w:rsidRDefault="00000000">
      <w:pPr>
        <w:pStyle w:val="a5"/>
        <w:jc w:val="center"/>
        <w:rPr>
          <w:rFonts w:hint="default"/>
        </w:rPr>
      </w:pPr>
      <w:r>
        <w:t>保守・サポート体制</w:t>
      </w:r>
    </w:p>
    <w:p w14:paraId="541FEBB6" w14:textId="77777777" w:rsidR="00C936F5" w:rsidRDefault="00C936F5">
      <w:pPr>
        <w:pStyle w:val="a6"/>
        <w:rPr>
          <w:rFonts w:hint="default"/>
        </w:rPr>
      </w:pPr>
    </w:p>
    <w:p w14:paraId="67A27896" w14:textId="77777777" w:rsidR="00C936F5" w:rsidRDefault="00000000">
      <w:pPr>
        <w:pStyle w:val="a6"/>
        <w:rPr>
          <w:rFonts w:ascii="ヒラギノ角ゴシック W6" w:eastAsia="ヒラギノ角ゴシック W6" w:hAnsi="ヒラギノ角ゴシック W6" w:cs="ヒラギノ角ゴシック W6" w:hint="default"/>
        </w:rPr>
      </w:pPr>
      <w:r>
        <w:rPr>
          <w:rFonts w:ascii="ヒラギノ角ゴシック W6" w:hAnsi="ヒラギノ角ゴシック W6"/>
        </w:rPr>
        <w:t xml:space="preserve">1. </w:t>
      </w:r>
      <w:r>
        <w:rPr>
          <w:rFonts w:eastAsia="ヒラギノ角ゴシック W6"/>
        </w:rPr>
        <w:t>定期メンテナンス体制</w:t>
      </w:r>
    </w:p>
    <w:p w14:paraId="5EF8F9AB" w14:textId="77777777" w:rsidR="00C936F5" w:rsidRDefault="00000000">
      <w:pPr>
        <w:pStyle w:val="a6"/>
        <w:rPr>
          <w:rFonts w:ascii="ヒラギノ角ゴシック W3" w:eastAsia="ヒラギノ角ゴシック W3" w:hAnsi="ヒラギノ角ゴシック W3" w:cs="ヒラギノ角ゴシック W3" w:hint="default"/>
        </w:rPr>
      </w:pPr>
      <w:r>
        <w:rPr>
          <w:rFonts w:eastAsia="ヒラギノ角ゴシック W3"/>
        </w:rPr>
        <w:t>当社の</w:t>
      </w:r>
      <w:r>
        <w:rPr>
          <w:rFonts w:ascii="ヒラギノ角ゴシック W3" w:hAnsi="ヒラギノ角ゴシック W3"/>
        </w:rPr>
        <w:t>AGV/AMR</w:t>
      </w:r>
      <w:r>
        <w:rPr>
          <w:rFonts w:eastAsia="ヒラギノ角ゴシック W3"/>
        </w:rPr>
        <w:t>製品に関しては、定期的なメンテナンスを実施する体制を整えております。具体的には以下の内容が含まれます：</w:t>
      </w:r>
    </w:p>
    <w:p w14:paraId="108EF389" w14:textId="77777777" w:rsidR="00C936F5" w:rsidRDefault="00000000">
      <w:pPr>
        <w:pStyle w:val="a6"/>
        <w:numPr>
          <w:ilvl w:val="0"/>
          <w:numId w:val="2"/>
        </w:numPr>
        <w:rPr>
          <w:rFonts w:eastAsia="ヒラギノ角ゴシック W3" w:hint="default"/>
        </w:rPr>
      </w:pPr>
      <w:r>
        <w:rPr>
          <w:rFonts w:eastAsia="ヒラギノ角ゴシック W3"/>
        </w:rPr>
        <w:t>点検周期：製品導入後、半年ごとに定期点検を実施し、重要部品の動作確認と清掃を行います。</w:t>
      </w:r>
    </w:p>
    <w:p w14:paraId="57217D26" w14:textId="77777777" w:rsidR="00C936F5" w:rsidRDefault="00000000">
      <w:pPr>
        <w:pStyle w:val="a6"/>
        <w:numPr>
          <w:ilvl w:val="0"/>
          <w:numId w:val="2"/>
        </w:numPr>
        <w:rPr>
          <w:rFonts w:eastAsia="ヒラギノ角ゴシック W3" w:hint="default"/>
        </w:rPr>
      </w:pPr>
      <w:r>
        <w:rPr>
          <w:rFonts w:eastAsia="ヒラギノ角ゴシック W3"/>
        </w:rPr>
        <w:t>主なメンテナンス作業：</w:t>
      </w:r>
    </w:p>
    <w:p w14:paraId="3ACB055A" w14:textId="77777777" w:rsidR="00C936F5" w:rsidRDefault="00000000">
      <w:pPr>
        <w:pStyle w:val="a6"/>
        <w:numPr>
          <w:ilvl w:val="1"/>
          <w:numId w:val="2"/>
        </w:numPr>
        <w:rPr>
          <w:rFonts w:eastAsia="ヒラギノ角ゴシック W3" w:hint="default"/>
        </w:rPr>
      </w:pPr>
      <w:r>
        <w:rPr>
          <w:rFonts w:eastAsia="ヒラギノ角ゴシック W3"/>
        </w:rPr>
        <w:t>主要部品の再調整：定位センサー、カメラ、ライダー（</w:t>
      </w:r>
      <w:r>
        <w:rPr>
          <w:rFonts w:ascii="ヒラギノ角ゴシック W3" w:hAnsi="ヒラギノ角ゴシック W3"/>
        </w:rPr>
        <w:t>LiDAR</w:t>
      </w:r>
      <w:r>
        <w:rPr>
          <w:rFonts w:eastAsia="ヒラギノ角ゴシック W3"/>
        </w:rPr>
        <w:t>）などの主要部品をキャリブレーションし、精度と安定性を確保します。</w:t>
      </w:r>
    </w:p>
    <w:p w14:paraId="199932C7" w14:textId="77777777" w:rsidR="00C936F5" w:rsidRDefault="00000000">
      <w:pPr>
        <w:pStyle w:val="a6"/>
        <w:numPr>
          <w:ilvl w:val="1"/>
          <w:numId w:val="2"/>
        </w:numPr>
        <w:rPr>
          <w:rFonts w:eastAsia="ヒラギノ角ゴシック W3" w:hint="default"/>
        </w:rPr>
      </w:pPr>
      <w:r>
        <w:rPr>
          <w:rFonts w:eastAsia="ヒラギノ角ゴシック W3"/>
        </w:rPr>
        <w:t>ソフトウェアシステムのチェック：長期間の稼働によるバグの蓄積がないかを定期的に確認し、システムの最適化と更新を行います。</w:t>
      </w:r>
    </w:p>
    <w:p w14:paraId="253DB10B" w14:textId="77777777" w:rsidR="00C936F5" w:rsidRDefault="00000000">
      <w:pPr>
        <w:pStyle w:val="a6"/>
        <w:numPr>
          <w:ilvl w:val="1"/>
          <w:numId w:val="2"/>
        </w:numPr>
        <w:rPr>
          <w:rFonts w:eastAsia="ヒラギノ角ゴシック W3" w:hint="default"/>
        </w:rPr>
      </w:pPr>
      <w:r>
        <w:rPr>
          <w:rFonts w:eastAsia="ヒラギノ角ゴシック W3"/>
        </w:rPr>
        <w:t>ハードウェア点検：必要に応じて、以下の作業を行います：</w:t>
      </w:r>
    </w:p>
    <w:p w14:paraId="4ABDC80A" w14:textId="77777777" w:rsidR="00C936F5" w:rsidRDefault="00000000">
      <w:pPr>
        <w:pStyle w:val="a6"/>
        <w:numPr>
          <w:ilvl w:val="1"/>
          <w:numId w:val="3"/>
        </w:numPr>
        <w:rPr>
          <w:rFonts w:eastAsia="ヒラギノ角ゴシック W3" w:hint="default"/>
        </w:rPr>
      </w:pPr>
      <w:r>
        <w:rPr>
          <w:rFonts w:eastAsia="ヒラギノ角ゴシック W3"/>
        </w:rPr>
        <w:t>バッテリー交換</w:t>
      </w:r>
    </w:p>
    <w:p w14:paraId="6DB007B0" w14:textId="77777777" w:rsidR="00C936F5" w:rsidRDefault="00000000">
      <w:pPr>
        <w:pStyle w:val="a6"/>
        <w:numPr>
          <w:ilvl w:val="1"/>
          <w:numId w:val="3"/>
        </w:numPr>
        <w:rPr>
          <w:rFonts w:eastAsia="ヒラギノ角ゴシック W3" w:hint="default"/>
        </w:rPr>
      </w:pPr>
      <w:r>
        <w:rPr>
          <w:rFonts w:eastAsia="ヒラギノ角ゴシック W3"/>
        </w:rPr>
        <w:t>センサー調整</w:t>
      </w:r>
    </w:p>
    <w:p w14:paraId="1523E5E6" w14:textId="77777777" w:rsidR="00C936F5" w:rsidRDefault="00000000">
      <w:pPr>
        <w:pStyle w:val="a6"/>
        <w:numPr>
          <w:ilvl w:val="1"/>
          <w:numId w:val="3"/>
        </w:numPr>
        <w:rPr>
          <w:rFonts w:eastAsia="ヒラギノ角ゴシック W3" w:hint="default"/>
        </w:rPr>
      </w:pPr>
      <w:r>
        <w:rPr>
          <w:rFonts w:eastAsia="ヒラギノ角ゴシック W3"/>
        </w:rPr>
        <w:t>モーター及び可動部品の潤滑</w:t>
      </w:r>
    </w:p>
    <w:p w14:paraId="1D375EE1" w14:textId="77777777" w:rsidR="00C936F5" w:rsidRDefault="00000000">
      <w:pPr>
        <w:pStyle w:val="a6"/>
        <w:numPr>
          <w:ilvl w:val="0"/>
          <w:numId w:val="2"/>
        </w:numPr>
        <w:rPr>
          <w:rFonts w:eastAsia="ヒラギノ角ゴシック W3" w:hint="default"/>
        </w:rPr>
      </w:pPr>
      <w:r>
        <w:rPr>
          <w:rFonts w:eastAsia="ヒラギノ角ゴシック W3"/>
        </w:rPr>
        <w:t>メンテナンス資料：操作マニュアル、トラブルシューティングガイド、メンテナンス手順書を顧客に提供し、使用者が日常的なメンテナンスを行えるようにサポートいたします。</w:t>
      </w:r>
    </w:p>
    <w:p w14:paraId="703FABA9" w14:textId="77777777" w:rsidR="00C936F5" w:rsidRDefault="00000000">
      <w:pPr>
        <w:pStyle w:val="a6"/>
        <w:rPr>
          <w:rFonts w:ascii="ヒラギノ角ゴシック W6" w:eastAsia="ヒラギノ角ゴシック W6" w:hAnsi="ヒラギノ角ゴシック W6" w:cs="ヒラギノ角ゴシック W6" w:hint="default"/>
        </w:rPr>
      </w:pPr>
      <w:r>
        <w:rPr>
          <w:rFonts w:ascii="ヒラギノ角ゴシック W6" w:hAnsi="ヒラギノ角ゴシック W6"/>
        </w:rPr>
        <w:t xml:space="preserve">2. </w:t>
      </w:r>
      <w:r>
        <w:rPr>
          <w:rFonts w:eastAsia="ヒラギノ角ゴシック W6"/>
        </w:rPr>
        <w:t>全国サポート体制</w:t>
      </w:r>
    </w:p>
    <w:p w14:paraId="55A96F00" w14:textId="77777777" w:rsidR="00C936F5" w:rsidRDefault="00000000">
      <w:pPr>
        <w:pStyle w:val="a6"/>
        <w:rPr>
          <w:rFonts w:ascii="ヒラギノ角ゴシック W3" w:eastAsia="ヒラギノ角ゴシック W3" w:hAnsi="ヒラギノ角ゴシック W3" w:cs="ヒラギノ角ゴシック W3" w:hint="default"/>
        </w:rPr>
      </w:pPr>
      <w:r>
        <w:rPr>
          <w:rFonts w:eastAsia="ヒラギノ角ゴシック W3"/>
        </w:rPr>
        <w:t>当社は、日本全国に対応可能なサポート体制を整えております。迅速なサポート対応を提供するため、以下のサポートが利用可能です：</w:t>
      </w:r>
    </w:p>
    <w:p w14:paraId="60142F89" w14:textId="77777777" w:rsidR="00C936F5" w:rsidRDefault="00000000">
      <w:pPr>
        <w:pStyle w:val="a6"/>
        <w:numPr>
          <w:ilvl w:val="0"/>
          <w:numId w:val="2"/>
        </w:numPr>
        <w:rPr>
          <w:rFonts w:eastAsia="ヒラギノ角ゴシック W3" w:hint="default"/>
        </w:rPr>
      </w:pPr>
      <w:r>
        <w:rPr>
          <w:rFonts w:eastAsia="ヒラギノ角ゴシック W3"/>
        </w:rPr>
        <w:t>カスタマーサポート窓口：平日の</w:t>
      </w:r>
      <w:r>
        <w:rPr>
          <w:rFonts w:ascii="ヒラギノ角ゴシック W3" w:hAnsi="ヒラギノ角ゴシック W3"/>
        </w:rPr>
        <w:t>10:00</w:t>
      </w:r>
      <w:r>
        <w:rPr>
          <w:rFonts w:eastAsia="ヒラギノ角ゴシック W3"/>
        </w:rPr>
        <w:t>〜</w:t>
      </w:r>
      <w:r>
        <w:rPr>
          <w:rFonts w:ascii="ヒラギノ角ゴシック W3" w:hAnsi="ヒラギノ角ゴシック W3"/>
        </w:rPr>
        <w:t>17:00</w:t>
      </w:r>
      <w:r>
        <w:rPr>
          <w:rFonts w:eastAsia="ヒラギノ角ゴシック W3"/>
        </w:rPr>
        <w:t>（月曜日～金曜日）専用のサポートセンターを設置し、電話・メールによる対応いたします。顧客からの問い合わせには迅速に回答する体制を整えています。</w:t>
      </w:r>
    </w:p>
    <w:p w14:paraId="01708120" w14:textId="77777777" w:rsidR="00C936F5" w:rsidRDefault="00000000">
      <w:pPr>
        <w:pStyle w:val="a6"/>
        <w:numPr>
          <w:ilvl w:val="0"/>
          <w:numId w:val="2"/>
        </w:numPr>
        <w:rPr>
          <w:rFonts w:eastAsia="ヒラギノ角ゴシック W3" w:hint="default"/>
        </w:rPr>
      </w:pPr>
      <w:r>
        <w:rPr>
          <w:rFonts w:eastAsia="ヒラギノ角ゴシック W3"/>
        </w:rPr>
        <w:t>現地サポート：必要に応じて技術者が現地に訪問し、問題解決やメンテナンスを行います。全国にパートナー</w:t>
      </w:r>
      <w:r>
        <w:rPr>
          <w:rFonts w:ascii="ヒラギノ角ゴシック W3" w:hAnsi="ヒラギノ角ゴシック W3"/>
        </w:rPr>
        <w:t>SIer</w:t>
      </w:r>
      <w:r>
        <w:rPr>
          <w:rFonts w:eastAsia="ヒラギノ角ゴシック W3"/>
        </w:rPr>
        <w:t>を持つことで、迅速な対応を実現しております。</w:t>
      </w:r>
    </w:p>
    <w:p w14:paraId="541660BF" w14:textId="77777777" w:rsidR="00C936F5" w:rsidRDefault="00000000">
      <w:pPr>
        <w:pStyle w:val="a6"/>
        <w:numPr>
          <w:ilvl w:val="0"/>
          <w:numId w:val="2"/>
        </w:numPr>
        <w:rPr>
          <w:rFonts w:eastAsia="ヒラギノ角ゴシック W3" w:hint="default"/>
        </w:rPr>
      </w:pPr>
      <w:r>
        <w:rPr>
          <w:rFonts w:eastAsia="ヒラギノ角ゴシック W3"/>
        </w:rPr>
        <w:t>オンラインサポート：当社ウェブサイトには</w:t>
      </w:r>
      <w:r>
        <w:rPr>
          <w:rFonts w:ascii="ヒラギノ角ゴシック W3" w:hAnsi="ヒラギノ角ゴシック W3"/>
          <w:lang w:val="de-DE"/>
        </w:rPr>
        <w:t>FAQ</w:t>
      </w:r>
      <w:r>
        <w:rPr>
          <w:rFonts w:eastAsia="ヒラギノ角ゴシック W3"/>
        </w:rPr>
        <w:t>、トラブルシューティングガイド、ダウンロード可能な技術資料が揃っており、顧客がオンラインで情報を得られるようになっています。</w:t>
      </w:r>
    </w:p>
    <w:p w14:paraId="798A5B19" w14:textId="77777777" w:rsidR="00C936F5" w:rsidRDefault="00000000">
      <w:pPr>
        <w:pStyle w:val="a6"/>
        <w:rPr>
          <w:rFonts w:ascii="ヒラギノ角ゴシック W6" w:eastAsia="ヒラギノ角ゴシック W6" w:hAnsi="ヒラギノ角ゴシック W6" w:cs="ヒラギノ角ゴシック W6" w:hint="default"/>
        </w:rPr>
      </w:pPr>
      <w:r>
        <w:rPr>
          <w:rFonts w:ascii="ヒラギノ角ゴシック W6" w:hAnsi="ヒラギノ角ゴシック W6"/>
        </w:rPr>
        <w:t xml:space="preserve">3. </w:t>
      </w:r>
      <w:r>
        <w:rPr>
          <w:rFonts w:eastAsia="ヒラギノ角ゴシック W6"/>
        </w:rPr>
        <w:t>導入事例</w:t>
      </w:r>
    </w:p>
    <w:p w14:paraId="4BD5BFF9" w14:textId="77777777" w:rsidR="00C936F5" w:rsidRDefault="00000000">
      <w:pPr>
        <w:pStyle w:val="a6"/>
        <w:rPr>
          <w:rFonts w:ascii="ヒラギノ角ゴシック W3" w:eastAsia="ヒラギノ角ゴシック W3" w:hAnsi="ヒラギノ角ゴシック W3" w:cs="ヒラギノ角ゴシック W3" w:hint="default"/>
        </w:rPr>
      </w:pPr>
      <w:r>
        <w:rPr>
          <w:rFonts w:eastAsia="ヒラギノ角ゴシック W3"/>
        </w:rPr>
        <w:t>東京都新木場の</w:t>
      </w:r>
      <w:r>
        <w:rPr>
          <w:rFonts w:ascii="ヒラギノ角ゴシック W3" w:hAnsi="ヒラギノ角ゴシック W3"/>
          <w:lang w:val="it-IT"/>
        </w:rPr>
        <w:t>JD.com</w:t>
      </w:r>
      <w:r>
        <w:rPr>
          <w:rFonts w:eastAsia="ヒラギノ角ゴシック W3"/>
        </w:rPr>
        <w:t>社自動倉庫</w:t>
      </w:r>
      <w:r>
        <w:rPr>
          <w:rFonts w:ascii="ヒラギノ角ゴシック W3" w:hAnsi="ヒラギノ角ゴシック W3"/>
        </w:rPr>
        <w:t xml:space="preserve"> </w:t>
      </w:r>
    </w:p>
    <w:p w14:paraId="623290E4" w14:textId="77777777" w:rsidR="00C936F5" w:rsidRDefault="00000000">
      <w:pPr>
        <w:pStyle w:val="a6"/>
        <w:rPr>
          <w:rFonts w:hint="default"/>
        </w:rPr>
      </w:pPr>
      <w:r>
        <w:rPr>
          <w:rFonts w:ascii="ヒラギノ角ゴシック W3" w:hAnsi="ヒラギノ角ゴシック W3"/>
          <w:lang w:val="pt-PT"/>
        </w:rPr>
        <w:t xml:space="preserve">JD.com </w:t>
      </w:r>
      <w:r>
        <w:rPr>
          <w:rFonts w:eastAsia="ヒラギノ角ゴシック W3"/>
        </w:rPr>
        <w:t>新木場の倉庫内で</w:t>
      </w:r>
      <w:r>
        <w:rPr>
          <w:rFonts w:ascii="ヒラギノ角ゴシック W3" w:hAnsi="ヒラギノ角ゴシック W3"/>
        </w:rPr>
        <w:t>AMR</w:t>
      </w:r>
      <w:r>
        <w:rPr>
          <w:rFonts w:eastAsia="ヒラギノ角ゴシック W3"/>
        </w:rPr>
        <w:t>を導入し、当社の定期メンテナンスにより</w:t>
      </w:r>
      <w:r>
        <w:rPr>
          <w:rFonts w:ascii="ヒラギノ角ゴシック W3" w:hAnsi="ヒラギノ角ゴシック W3"/>
        </w:rPr>
        <w:t>24</w:t>
      </w:r>
      <w:r>
        <w:rPr>
          <w:rFonts w:eastAsia="ヒラギノ角ゴシック W3"/>
        </w:rPr>
        <w:t>か月連続で故障ゼロを実現しました。半年ごとの定期点検と、バッテリー交換・センサー調整を実施することで、常</w:t>
      </w:r>
      <w:r>
        <w:rPr>
          <w:rFonts w:ascii="ヒラギノ角ゴシック W3" w:eastAsia="ヒラギノ角ゴシック W3" w:hAnsi="ヒラギノ角ゴシック W3" w:cs="ヒラギノ角ゴシック W3"/>
          <w:noProof/>
        </w:rPr>
        <w:drawing>
          <wp:anchor distT="152400" distB="152400" distL="152400" distR="152400" simplePos="0" relativeHeight="251660288" behindDoc="0" locked="0" layoutInCell="1" allowOverlap="1" wp14:anchorId="48ED6813" wp14:editId="56BE744C">
            <wp:simplePos x="0" y="0"/>
            <wp:positionH relativeFrom="margin">
              <wp:posOffset>3479262</wp:posOffset>
            </wp:positionH>
            <wp:positionV relativeFrom="line">
              <wp:posOffset>397891</wp:posOffset>
            </wp:positionV>
            <wp:extent cx="2510656" cy="1882992"/>
            <wp:effectExtent l="0" t="0" r="0" b="0"/>
            <wp:wrapThrough wrapText="bothSides" distL="152400" distR="152400">
              <wp:wrapPolygon edited="1">
                <wp:start x="1080" y="1395"/>
                <wp:lineTo x="19474" y="1395"/>
                <wp:lineTo x="19541" y="3375"/>
                <wp:lineTo x="19541" y="18405"/>
                <wp:lineTo x="19474" y="18810"/>
                <wp:lineTo x="18900" y="18990"/>
                <wp:lineTo x="2430" y="18900"/>
                <wp:lineTo x="1080" y="18810"/>
                <wp:lineTo x="1080" y="1395"/>
              </wp:wrapPolygon>
            </wp:wrapThrough>
            <wp:docPr id="1073741825" name="officeArt object" descr="已粘贴的影片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已粘贴的影片.png" descr="已粘贴的影片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0656" cy="18829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ヒラギノ角ゴシック W3"/>
        </w:rPr>
        <w:t>に高い稼働率を維持しています。また、平日のカスタマーサポート対応により、現地での小規模なトラブルにも迅速に対応しました。</w:t>
      </w:r>
      <w:r>
        <w:rPr>
          <w:rFonts w:ascii="ヒラギノ角ゴシック W3" w:eastAsia="ヒラギノ角ゴシック W3" w:hAnsi="ヒラギノ角ゴシック W3" w:cs="ヒラギノ角ゴシック W3"/>
          <w:noProof/>
        </w:rPr>
        <w:drawing>
          <wp:anchor distT="152400" distB="152400" distL="152400" distR="152400" simplePos="0" relativeHeight="251659264" behindDoc="0" locked="0" layoutInCell="1" allowOverlap="1" wp14:anchorId="638067D1" wp14:editId="501B9F75">
            <wp:simplePos x="0" y="0"/>
            <wp:positionH relativeFrom="margin">
              <wp:posOffset>389890</wp:posOffset>
            </wp:positionH>
            <wp:positionV relativeFrom="line">
              <wp:posOffset>246418</wp:posOffset>
            </wp:positionV>
            <wp:extent cx="2338822" cy="1779538"/>
            <wp:effectExtent l="0" t="0" r="0" b="0"/>
            <wp:wrapThrough wrapText="bothSides" distL="152400" distR="152400">
              <wp:wrapPolygon edited="1">
                <wp:start x="352" y="309"/>
                <wp:lineTo x="21248" y="309"/>
                <wp:lineTo x="21248" y="21021"/>
                <wp:lineTo x="352" y="21021"/>
                <wp:lineTo x="352" y="309"/>
              </wp:wrapPolygon>
            </wp:wrapThrough>
            <wp:docPr id="1073741826" name="officeArt object" descr="已粘贴的影片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已粘贴的影片.png" descr="已粘贴的影片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8822" cy="17795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C936F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9ADFB" w14:textId="77777777" w:rsidR="005872F6" w:rsidRDefault="005872F6">
      <w:r>
        <w:separator/>
      </w:r>
    </w:p>
  </w:endnote>
  <w:endnote w:type="continuationSeparator" w:id="0">
    <w:p w14:paraId="0CB24F9D" w14:textId="77777777" w:rsidR="005872F6" w:rsidRDefault="0058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ingFang SC Semibold">
    <w:altName w:val="Cambria"/>
    <w:charset w:val="00"/>
    <w:family w:val="roman"/>
    <w:pitch w:val="default"/>
  </w:font>
  <w:font w:name="PingFang SC Regular">
    <w:charset w:val="00"/>
    <w:family w:val="roman"/>
    <w:pitch w:val="default"/>
  </w:font>
  <w:font w:name="ヒラギノ角ゴシック W6">
    <w:altName w:val="Cambria"/>
    <w:charset w:val="00"/>
    <w:family w:val="roman"/>
    <w:pitch w:val="default"/>
  </w:font>
  <w:font w:name="ヒラギノ角ゴシック W3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D0E9" w14:textId="77777777" w:rsidR="00C936F5" w:rsidRDefault="00C936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541B" w14:textId="77777777" w:rsidR="005872F6" w:rsidRDefault="005872F6">
      <w:r>
        <w:separator/>
      </w:r>
    </w:p>
  </w:footnote>
  <w:footnote w:type="continuationSeparator" w:id="0">
    <w:p w14:paraId="685108A3" w14:textId="77777777" w:rsidR="005872F6" w:rsidRDefault="0058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481F0" w14:textId="77777777" w:rsidR="00C936F5" w:rsidRDefault="00C936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86761"/>
    <w:multiLevelType w:val="hybridMultilevel"/>
    <w:tmpl w:val="7FD21186"/>
    <w:styleLink w:val="a"/>
    <w:lvl w:ilvl="0" w:tplc="C1265C80">
      <w:start w:val="1"/>
      <w:numFmt w:val="bullet"/>
      <w:lvlText w:val="•"/>
      <w:lvlJc w:val="left"/>
      <w:pPr>
        <w:ind w:left="6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88545C">
      <w:start w:val="1"/>
      <w:numFmt w:val="bullet"/>
      <w:lvlText w:val="•"/>
      <w:lvlJc w:val="left"/>
      <w:pPr>
        <w:ind w:left="8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19AA12A">
      <w:start w:val="1"/>
      <w:numFmt w:val="bullet"/>
      <w:lvlText w:val="•"/>
      <w:lvlJc w:val="left"/>
      <w:pPr>
        <w:ind w:left="11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EA6CC7C">
      <w:start w:val="1"/>
      <w:numFmt w:val="bullet"/>
      <w:lvlText w:val="•"/>
      <w:lvlJc w:val="left"/>
      <w:pPr>
        <w:ind w:left="13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58AFD1E">
      <w:start w:val="1"/>
      <w:numFmt w:val="bullet"/>
      <w:lvlText w:val="•"/>
      <w:lvlJc w:val="left"/>
      <w:pPr>
        <w:ind w:left="155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432DDAC">
      <w:start w:val="1"/>
      <w:numFmt w:val="bullet"/>
      <w:lvlText w:val="•"/>
      <w:lvlJc w:val="left"/>
      <w:pPr>
        <w:ind w:left="17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5423B5A">
      <w:start w:val="1"/>
      <w:numFmt w:val="bullet"/>
      <w:lvlText w:val="•"/>
      <w:lvlJc w:val="left"/>
      <w:pPr>
        <w:ind w:left="19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0BA42EA">
      <w:start w:val="1"/>
      <w:numFmt w:val="bullet"/>
      <w:lvlText w:val="•"/>
      <w:lvlJc w:val="left"/>
      <w:pPr>
        <w:ind w:left="22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2EC2B2C">
      <w:start w:val="1"/>
      <w:numFmt w:val="bullet"/>
      <w:lvlText w:val="•"/>
      <w:lvlJc w:val="left"/>
      <w:pPr>
        <w:ind w:left="24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9960A0F"/>
    <w:multiLevelType w:val="hybridMultilevel"/>
    <w:tmpl w:val="7FD21186"/>
    <w:numStyleLink w:val="a"/>
  </w:abstractNum>
  <w:num w:numId="1" w16cid:durableId="318001243">
    <w:abstractNumId w:val="0"/>
  </w:num>
  <w:num w:numId="2" w16cid:durableId="1537810228">
    <w:abstractNumId w:val="1"/>
  </w:num>
  <w:num w:numId="3" w16cid:durableId="1825855282">
    <w:abstractNumId w:val="1"/>
    <w:lvlOverride w:ilvl="0">
      <w:lvl w:ilvl="0" w:tplc="8D569182">
        <w:start w:val="1"/>
        <w:numFmt w:val="bullet"/>
        <w:lvlText w:val="•"/>
        <w:lvlJc w:val="left"/>
        <w:pPr>
          <w:ind w:left="678" w:hanging="4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E47D6E">
        <w:start w:val="1"/>
        <w:numFmt w:val="bullet"/>
        <w:lvlText w:val="◦"/>
        <w:lvlJc w:val="left"/>
        <w:pPr>
          <w:ind w:left="139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6A6478E">
        <w:start w:val="1"/>
        <w:numFmt w:val="bullet"/>
        <w:lvlText w:val="◦"/>
        <w:lvlJc w:val="left"/>
        <w:pPr>
          <w:ind w:left="211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AA01984">
        <w:start w:val="1"/>
        <w:numFmt w:val="bullet"/>
        <w:lvlText w:val="◦"/>
        <w:lvlJc w:val="left"/>
        <w:pPr>
          <w:ind w:left="283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B36B186">
        <w:start w:val="1"/>
        <w:numFmt w:val="bullet"/>
        <w:lvlText w:val="◦"/>
        <w:lvlJc w:val="left"/>
        <w:pPr>
          <w:ind w:left="355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DB8AAA6">
        <w:start w:val="1"/>
        <w:numFmt w:val="bullet"/>
        <w:lvlText w:val="◦"/>
        <w:lvlJc w:val="left"/>
        <w:pPr>
          <w:ind w:left="427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10C2920">
        <w:start w:val="1"/>
        <w:numFmt w:val="bullet"/>
        <w:lvlText w:val="◦"/>
        <w:lvlJc w:val="left"/>
        <w:pPr>
          <w:ind w:left="499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3324680E">
        <w:start w:val="1"/>
        <w:numFmt w:val="bullet"/>
        <w:lvlText w:val="◦"/>
        <w:lvlJc w:val="left"/>
        <w:pPr>
          <w:ind w:left="571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A26487A">
        <w:start w:val="1"/>
        <w:numFmt w:val="bullet"/>
        <w:lvlText w:val="◦"/>
        <w:lvlJc w:val="left"/>
        <w:pPr>
          <w:ind w:left="643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F5"/>
    <w:rsid w:val="002D200E"/>
    <w:rsid w:val="005872F6"/>
    <w:rsid w:val="00A575CD"/>
    <w:rsid w:val="00C9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E8EF3"/>
  <w15:docId w15:val="{25A56B0A-F5AE-46EE-AF3B-82657302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小标题"/>
    <w:next w:val="a6"/>
    <w:pPr>
      <w:keepNext/>
      <w:outlineLvl w:val="0"/>
    </w:pPr>
    <w:rPr>
      <w:rFonts w:ascii="Arial Unicode MS" w:eastAsia="PingFang SC Semibold" w:hAnsi="Arial Unicode MS" w:cs="Arial Unicode MS" w:hint="eastAsia"/>
      <w:color w:val="000000"/>
      <w:sz w:val="36"/>
      <w:szCs w:val="36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正文"/>
    <w:rPr>
      <w:rFonts w:ascii="Arial Unicode MS" w:eastAsia="PingFang SC Regular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项目符号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ＭＳ ゴシック"/>
        <a:cs typeface="PingFang SC Semibold"/>
      </a:majorFont>
      <a:minorFont>
        <a:latin typeface="PingFang SC Regular"/>
        <a:ea typeface="ＭＳ 明朝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張洋</dc:creator>
  <cp:keywords/>
  <cp:lastModifiedBy>張洋</cp:lastModifiedBy>
  <cp:revision>2</cp:revision>
  <dcterms:created xsi:type="dcterms:W3CDTF">2024-11-08T23:22:00Z</dcterms:created>
  <dcterms:modified xsi:type="dcterms:W3CDTF">2024-11-08T23:22:00Z</dcterms:modified>
</cp:coreProperties>
</file>